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90A2" w14:textId="176ED5E8" w:rsidR="0096002C" w:rsidRPr="0096002C" w:rsidRDefault="0096002C" w:rsidP="0096002C">
      <w:pPr>
        <w:shd w:val="clear" w:color="auto" w:fill="FFFFFF" w:themeFill="background1"/>
        <w:ind w:left="7200"/>
        <w:rPr>
          <w:b/>
          <w:bCs/>
          <w:color w:val="EE0000"/>
          <w:sz w:val="36"/>
          <w:szCs w:val="36"/>
        </w:rPr>
      </w:pPr>
      <w:r w:rsidRPr="0096002C">
        <w:rPr>
          <w:b/>
          <w:bCs/>
          <w:i/>
          <w:color w:val="EE0000"/>
          <w:sz w:val="36"/>
          <w:szCs w:val="36"/>
        </w:rPr>
        <w:t>GA2025-5</w:t>
      </w:r>
    </w:p>
    <w:p w14:paraId="0DA898BD" w14:textId="479D2BC2" w:rsidR="004813F0" w:rsidRDefault="004813F0" w:rsidP="00B31FAF">
      <w:pPr>
        <w:shd w:val="clear" w:color="auto" w:fill="BFBFBF" w:themeFill="background1" w:themeFillShade="BF"/>
        <w:jc w:val="center"/>
        <w:rPr>
          <w:rFonts w:ascii="Calibri" w:hAnsi="Calibri" w:cs="Calibri"/>
          <w:b/>
          <w:bCs/>
          <w:sz w:val="36"/>
          <w:szCs w:val="36"/>
        </w:rPr>
      </w:pPr>
      <w:r w:rsidRPr="003F04BA">
        <w:rPr>
          <w:rFonts w:ascii="Calibri" w:hAnsi="Calibri" w:cs="Calibri"/>
          <w:b/>
          <w:bCs/>
          <w:sz w:val="36"/>
          <w:szCs w:val="36"/>
        </w:rPr>
        <w:t xml:space="preserve">PROPOSED CHANGES TO THE </w:t>
      </w:r>
      <w:r w:rsidR="008A4AE2" w:rsidRPr="003F04BA">
        <w:rPr>
          <w:rFonts w:ascii="Calibri" w:hAnsi="Calibri" w:cs="Calibri"/>
          <w:b/>
          <w:bCs/>
          <w:sz w:val="36"/>
          <w:szCs w:val="36"/>
        </w:rPr>
        <w:t xml:space="preserve">ARTICLES OF ASSOCIATION AND </w:t>
      </w:r>
      <w:r w:rsidRPr="003F04BA">
        <w:rPr>
          <w:rFonts w:ascii="Calibri" w:hAnsi="Calibri" w:cs="Calibri"/>
          <w:b/>
          <w:bCs/>
          <w:sz w:val="36"/>
          <w:szCs w:val="36"/>
        </w:rPr>
        <w:t xml:space="preserve">MEMORANDUM OF ARTICLES </w:t>
      </w:r>
    </w:p>
    <w:p w14:paraId="5A5CF5E2" w14:textId="45E1D9EB" w:rsidR="008427B2" w:rsidRPr="003F04BA" w:rsidRDefault="008427B2" w:rsidP="00B31FAF">
      <w:pPr>
        <w:shd w:val="clear" w:color="auto" w:fill="BFBFBF" w:themeFill="background1" w:themeFillShade="BF"/>
        <w:jc w:val="center"/>
        <w:rPr>
          <w:rFonts w:ascii="Calibri" w:hAnsi="Calibri" w:cs="Calibri"/>
          <w:b/>
          <w:bCs/>
          <w:sz w:val="36"/>
          <w:szCs w:val="36"/>
        </w:rPr>
      </w:pPr>
      <w:r>
        <w:rPr>
          <w:rFonts w:ascii="Calibri" w:hAnsi="Calibri" w:cs="Calibri"/>
          <w:b/>
          <w:bCs/>
          <w:sz w:val="36"/>
          <w:szCs w:val="36"/>
        </w:rPr>
        <w:t>Explanatory Note</w:t>
      </w:r>
      <w:r w:rsidR="004D7EFD">
        <w:rPr>
          <w:rFonts w:ascii="Calibri" w:hAnsi="Calibri" w:cs="Calibri"/>
          <w:b/>
          <w:bCs/>
          <w:sz w:val="36"/>
          <w:szCs w:val="36"/>
        </w:rPr>
        <w:t>s</w:t>
      </w:r>
    </w:p>
    <w:p w14:paraId="417F2A7C" w14:textId="77777777" w:rsidR="00ED5577" w:rsidRPr="003F04BA" w:rsidRDefault="00ED5577" w:rsidP="004813F0">
      <w:pPr>
        <w:jc w:val="center"/>
        <w:rPr>
          <w:rFonts w:ascii="Calibri" w:hAnsi="Calibri" w:cs="Calibri"/>
          <w:b/>
          <w:bCs/>
        </w:rPr>
      </w:pPr>
    </w:p>
    <w:p w14:paraId="7223BCA0" w14:textId="1A89B818" w:rsidR="00535783" w:rsidRPr="003F04BA" w:rsidRDefault="00535783" w:rsidP="00535783">
      <w:pPr>
        <w:rPr>
          <w:rFonts w:ascii="Calibri" w:hAnsi="Calibri" w:cs="Calibri"/>
        </w:rPr>
      </w:pPr>
      <w:r w:rsidRPr="003F04BA">
        <w:rPr>
          <w:rFonts w:ascii="Calibri" w:hAnsi="Calibri" w:cs="Calibri"/>
        </w:rPr>
        <w:t>The Executive Committee has received pro bono assistance from Latham and Walters solicitors in London</w:t>
      </w:r>
      <w:r w:rsidR="00386531" w:rsidRPr="003F04BA">
        <w:rPr>
          <w:rFonts w:ascii="Calibri" w:hAnsi="Calibri" w:cs="Calibri"/>
        </w:rPr>
        <w:t xml:space="preserve"> for the proposals below</w:t>
      </w:r>
      <w:r w:rsidRPr="003F04BA">
        <w:rPr>
          <w:rFonts w:ascii="Calibri" w:hAnsi="Calibri" w:cs="Calibri"/>
        </w:rPr>
        <w:t xml:space="preserve"> and we are deeply grateful for this advice over the past 2 years.   </w:t>
      </w:r>
    </w:p>
    <w:p w14:paraId="4219C83E" w14:textId="77777777" w:rsidR="00535783" w:rsidRPr="003F04BA" w:rsidRDefault="00535783" w:rsidP="00ED5577">
      <w:pPr>
        <w:rPr>
          <w:rFonts w:ascii="Calibri" w:hAnsi="Calibri" w:cs="Calibri"/>
          <w:b/>
          <w:bCs/>
          <w:sz w:val="28"/>
          <w:szCs w:val="28"/>
          <w:u w:val="single"/>
        </w:rPr>
      </w:pPr>
    </w:p>
    <w:p w14:paraId="6DD63567" w14:textId="77777777" w:rsidR="00344286" w:rsidRPr="003F04BA" w:rsidRDefault="00344286" w:rsidP="00344286">
      <w:pPr>
        <w:rPr>
          <w:rFonts w:ascii="Calibri" w:hAnsi="Calibri" w:cs="Calibri"/>
          <w:b/>
          <w:bCs/>
          <w:sz w:val="28"/>
          <w:szCs w:val="28"/>
          <w:u w:val="single"/>
        </w:rPr>
      </w:pPr>
      <w:r w:rsidRPr="003F04BA">
        <w:rPr>
          <w:rFonts w:ascii="Calibri" w:hAnsi="Calibri" w:cs="Calibri"/>
          <w:b/>
          <w:bCs/>
          <w:sz w:val="28"/>
          <w:szCs w:val="28"/>
          <w:u w:val="single"/>
        </w:rPr>
        <w:t xml:space="preserve">Modernisation of the Articles of Association and Memorandum of Association </w:t>
      </w:r>
    </w:p>
    <w:p w14:paraId="5D593AFC" w14:textId="6FA1DDD1" w:rsidR="00535783" w:rsidRPr="003F04BA" w:rsidRDefault="00344286" w:rsidP="00344286">
      <w:pPr>
        <w:rPr>
          <w:rFonts w:ascii="Calibri" w:hAnsi="Calibri" w:cs="Calibri"/>
        </w:rPr>
      </w:pPr>
      <w:r w:rsidRPr="003F04BA">
        <w:rPr>
          <w:rFonts w:ascii="Calibri" w:hAnsi="Calibri" w:cs="Calibri"/>
        </w:rPr>
        <w:t xml:space="preserve">The solicitors have advised us to modernise our </w:t>
      </w:r>
      <w:r w:rsidR="00727217" w:rsidRPr="003F04BA">
        <w:rPr>
          <w:rFonts w:ascii="Calibri" w:hAnsi="Calibri" w:cs="Calibri"/>
        </w:rPr>
        <w:t xml:space="preserve"> two </w:t>
      </w:r>
      <w:r w:rsidR="004175A1" w:rsidRPr="003F04BA">
        <w:rPr>
          <w:rFonts w:ascii="Calibri" w:hAnsi="Calibri" w:cs="Calibri"/>
        </w:rPr>
        <w:t>constitutional documents</w:t>
      </w:r>
      <w:r w:rsidR="00535783" w:rsidRPr="003F04BA">
        <w:rPr>
          <w:rFonts w:ascii="Calibri" w:hAnsi="Calibri" w:cs="Calibri"/>
        </w:rPr>
        <w:t xml:space="preserve">, namely:  </w:t>
      </w:r>
    </w:p>
    <w:p w14:paraId="014AD078" w14:textId="77777777" w:rsidR="00727217" w:rsidRPr="003F04BA" w:rsidRDefault="00727217" w:rsidP="00727217">
      <w:pPr>
        <w:pStyle w:val="ListParagraph"/>
        <w:numPr>
          <w:ilvl w:val="0"/>
          <w:numId w:val="1"/>
        </w:numPr>
        <w:jc w:val="both"/>
        <w:rPr>
          <w:rFonts w:ascii="Calibri" w:eastAsia="Times New Roman" w:hAnsi="Calibri" w:cs="Calibri"/>
          <w:kern w:val="0"/>
          <w14:ligatures w14:val="none"/>
        </w:rPr>
      </w:pPr>
      <w:r w:rsidRPr="003F04BA">
        <w:rPr>
          <w:rFonts w:ascii="Calibri" w:eastAsia="Times New Roman" w:hAnsi="Calibri" w:cs="Calibri"/>
          <w:kern w:val="0"/>
          <w14:ligatures w14:val="none"/>
        </w:rPr>
        <w:t>Memorandum of Association (last updated in 2009)</w:t>
      </w:r>
    </w:p>
    <w:p w14:paraId="2E2C3747" w14:textId="77777777" w:rsidR="00727217" w:rsidRPr="003F04BA" w:rsidRDefault="00727217" w:rsidP="00727217">
      <w:pPr>
        <w:pStyle w:val="ListParagraph"/>
        <w:numPr>
          <w:ilvl w:val="0"/>
          <w:numId w:val="1"/>
        </w:numPr>
        <w:jc w:val="both"/>
        <w:rPr>
          <w:rFonts w:ascii="Calibri" w:eastAsia="Times New Roman" w:hAnsi="Calibri" w:cs="Calibri"/>
          <w:kern w:val="0"/>
          <w14:ligatures w14:val="none"/>
        </w:rPr>
      </w:pPr>
      <w:r w:rsidRPr="003F04BA">
        <w:rPr>
          <w:rFonts w:ascii="Calibri" w:eastAsia="Times New Roman" w:hAnsi="Calibri" w:cs="Calibri"/>
          <w:kern w:val="0"/>
          <w14:ligatures w14:val="none"/>
        </w:rPr>
        <w:t>Articles of Association (last updated in 2018)</w:t>
      </w:r>
    </w:p>
    <w:p w14:paraId="4DCBB291" w14:textId="4645CFE7" w:rsidR="00344286" w:rsidRPr="003F04BA" w:rsidRDefault="00727217" w:rsidP="00344286">
      <w:pPr>
        <w:rPr>
          <w:rFonts w:ascii="Calibri" w:hAnsi="Calibri" w:cs="Calibri"/>
        </w:rPr>
      </w:pPr>
      <w:r w:rsidRPr="003F04BA">
        <w:rPr>
          <w:rFonts w:ascii="Calibri" w:hAnsi="Calibri" w:cs="Calibri"/>
        </w:rPr>
        <w:t xml:space="preserve">In fact they suggested that we amalgamate the two documents.  </w:t>
      </w:r>
      <w:r w:rsidR="00344286" w:rsidRPr="003F04BA">
        <w:rPr>
          <w:rFonts w:ascii="Calibri" w:hAnsi="Calibri" w:cs="Calibri"/>
        </w:rPr>
        <w:t xml:space="preserve">The solicitors have also taken the opportunity to make the Articles more user friendly as far as the nomination and voting rights are concerned. No changes to the actual substance in relation to these rights, however, are being suggested.   </w:t>
      </w:r>
    </w:p>
    <w:p w14:paraId="54440B7B" w14:textId="77777777" w:rsidR="003F04BA" w:rsidRPr="003F04BA" w:rsidRDefault="003F04BA" w:rsidP="00344286">
      <w:pPr>
        <w:rPr>
          <w:rFonts w:ascii="Calibri" w:hAnsi="Calibri" w:cs="Calibri"/>
        </w:rPr>
      </w:pPr>
    </w:p>
    <w:p w14:paraId="169679E5" w14:textId="77777777" w:rsidR="00344286" w:rsidRPr="003F04BA" w:rsidRDefault="00344286" w:rsidP="00344286">
      <w:pPr>
        <w:rPr>
          <w:rFonts w:ascii="Calibri" w:hAnsi="Calibri" w:cs="Calibri"/>
          <w:b/>
          <w:bCs/>
          <w:sz w:val="28"/>
          <w:szCs w:val="28"/>
          <w:u w:val="single"/>
        </w:rPr>
      </w:pPr>
      <w:r w:rsidRPr="003F04BA">
        <w:rPr>
          <w:rFonts w:ascii="Calibri" w:hAnsi="Calibri" w:cs="Calibri"/>
          <w:b/>
          <w:bCs/>
          <w:sz w:val="28"/>
          <w:szCs w:val="28"/>
          <w:u w:val="single"/>
        </w:rPr>
        <w:t xml:space="preserve">Affiliate Membership </w:t>
      </w:r>
    </w:p>
    <w:p w14:paraId="25CF02E3" w14:textId="35FBA2DE" w:rsidR="00344286" w:rsidRDefault="00344286" w:rsidP="00344286">
      <w:pPr>
        <w:rPr>
          <w:rFonts w:ascii="Calibri" w:hAnsi="Calibri" w:cs="Calibri"/>
        </w:rPr>
      </w:pPr>
      <w:r w:rsidRPr="003F04BA">
        <w:rPr>
          <w:rFonts w:ascii="Calibri" w:hAnsi="Calibri" w:cs="Calibri"/>
        </w:rPr>
        <w:t>The Council is also proposing an expansion of the membership of the CMJA to include to Regional Associations: e.g.: EAMJA, PIJOA etc… as well as specialised associations of judicial officers (e.g.: military justice, employment/labour judges etc..) as Affiliate Members</w:t>
      </w:r>
      <w:r w:rsidR="003F04BA">
        <w:rPr>
          <w:rFonts w:ascii="Calibri" w:hAnsi="Calibri" w:cs="Calibri"/>
        </w:rPr>
        <w:t xml:space="preserve">. </w:t>
      </w:r>
    </w:p>
    <w:p w14:paraId="43B1B1AD" w14:textId="77777777" w:rsidR="00344286" w:rsidRPr="003F04BA" w:rsidRDefault="00344286" w:rsidP="00344286">
      <w:pPr>
        <w:rPr>
          <w:rFonts w:ascii="Calibri" w:hAnsi="Calibri" w:cs="Calibri"/>
        </w:rPr>
      </w:pPr>
    </w:p>
    <w:p w14:paraId="4269416D" w14:textId="5BF57F6A" w:rsidR="00ED5577" w:rsidRPr="003F04BA" w:rsidRDefault="008A4AE2" w:rsidP="00ED5577">
      <w:pPr>
        <w:rPr>
          <w:rFonts w:ascii="Calibri" w:hAnsi="Calibri" w:cs="Calibri"/>
          <w:b/>
          <w:bCs/>
          <w:sz w:val="28"/>
          <w:szCs w:val="28"/>
          <w:u w:val="single"/>
        </w:rPr>
      </w:pPr>
      <w:r w:rsidRPr="003F04BA">
        <w:rPr>
          <w:rFonts w:ascii="Calibri" w:hAnsi="Calibri" w:cs="Calibri"/>
          <w:b/>
          <w:bCs/>
          <w:sz w:val="28"/>
          <w:szCs w:val="28"/>
          <w:u w:val="single"/>
        </w:rPr>
        <w:t xml:space="preserve">Proposed </w:t>
      </w:r>
      <w:r w:rsidR="00ED5577" w:rsidRPr="003F04BA">
        <w:rPr>
          <w:rFonts w:ascii="Calibri" w:hAnsi="Calibri" w:cs="Calibri"/>
          <w:b/>
          <w:bCs/>
          <w:sz w:val="28"/>
          <w:szCs w:val="28"/>
          <w:u w:val="single"/>
        </w:rPr>
        <w:t>Changes to the Board of Trustees and Directors of the Company</w:t>
      </w:r>
    </w:p>
    <w:p w14:paraId="55F5B074" w14:textId="14F7DCD5" w:rsidR="008A4AE2" w:rsidRPr="003F04BA" w:rsidRDefault="008A4AE2" w:rsidP="009B7A7F">
      <w:pPr>
        <w:rPr>
          <w:rFonts w:ascii="Calibri" w:hAnsi="Calibri" w:cs="Calibri"/>
        </w:rPr>
      </w:pPr>
      <w:r w:rsidRPr="003F04BA">
        <w:rPr>
          <w:rFonts w:ascii="Calibri" w:hAnsi="Calibri" w:cs="Calibri"/>
        </w:rPr>
        <w:t xml:space="preserve">The CMJA is a Charity and a Company Limited by Guarantee registered in the UK.  </w:t>
      </w:r>
    </w:p>
    <w:p w14:paraId="235C988C" w14:textId="77777777" w:rsidR="008A4AE2" w:rsidRPr="003F04BA" w:rsidRDefault="008A4AE2" w:rsidP="009B7A7F">
      <w:pPr>
        <w:rPr>
          <w:rFonts w:ascii="Calibri" w:hAnsi="Calibri" w:cs="Calibri"/>
        </w:rPr>
      </w:pPr>
    </w:p>
    <w:p w14:paraId="67D8AACE" w14:textId="0524A283" w:rsidR="009B7A7F" w:rsidRPr="003F04BA" w:rsidRDefault="009B7A7F" w:rsidP="009B7A7F">
      <w:pPr>
        <w:rPr>
          <w:rFonts w:ascii="Calibri" w:hAnsi="Calibri" w:cs="Calibri"/>
        </w:rPr>
      </w:pPr>
      <w:r w:rsidRPr="003F04BA">
        <w:rPr>
          <w:rFonts w:ascii="Calibri" w:hAnsi="Calibri" w:cs="Calibri"/>
        </w:rPr>
        <w:t xml:space="preserve">The CMJA currently has 32 Council Members with a potential of 34 (including </w:t>
      </w:r>
      <w:r w:rsidR="0089383D" w:rsidRPr="003F04BA">
        <w:rPr>
          <w:rFonts w:ascii="Calibri" w:hAnsi="Calibri" w:cs="Calibri"/>
        </w:rPr>
        <w:t xml:space="preserve">2 </w:t>
      </w:r>
      <w:r w:rsidRPr="003F04BA">
        <w:rPr>
          <w:rFonts w:ascii="Calibri" w:hAnsi="Calibri" w:cs="Calibri"/>
        </w:rPr>
        <w:t xml:space="preserve">more Hon. Life Vice Presidents).  The Director of Programmes and the Secretary General attend the meeting but do not have any voting rights.     </w:t>
      </w:r>
      <w:r w:rsidR="0089383D" w:rsidRPr="003F04BA">
        <w:rPr>
          <w:rFonts w:ascii="Calibri" w:hAnsi="Calibri" w:cs="Calibri"/>
        </w:rPr>
        <w:t>D</w:t>
      </w:r>
      <w:r w:rsidRPr="003F04BA">
        <w:rPr>
          <w:rFonts w:ascii="Calibri" w:hAnsi="Calibri" w:cs="Calibri"/>
        </w:rPr>
        <w:t xml:space="preserve">ue to UK Legislation, the financial institutions that the CMJA deals with (at present 5 entities- </w:t>
      </w:r>
      <w:proofErr w:type="spellStart"/>
      <w:r w:rsidRPr="003F04BA">
        <w:rPr>
          <w:rFonts w:ascii="Calibri" w:hAnsi="Calibri" w:cs="Calibri"/>
        </w:rPr>
        <w:t>Natwest</w:t>
      </w:r>
      <w:proofErr w:type="spellEnd"/>
      <w:r w:rsidRPr="003F04BA">
        <w:rPr>
          <w:rFonts w:ascii="Calibri" w:hAnsi="Calibri" w:cs="Calibri"/>
        </w:rPr>
        <w:t>, Worldpay (</w:t>
      </w:r>
      <w:r w:rsidR="00AC5BDD">
        <w:rPr>
          <w:rFonts w:ascii="Calibri" w:hAnsi="Calibri" w:cs="Calibri"/>
        </w:rPr>
        <w:t xml:space="preserve">office </w:t>
      </w:r>
      <w:r w:rsidRPr="003F04BA">
        <w:rPr>
          <w:rFonts w:ascii="Calibri" w:hAnsi="Calibri" w:cs="Calibri"/>
        </w:rPr>
        <w:t xml:space="preserve">credit card machine), CAFBank (savings), Scottish Widows (Reserves), and </w:t>
      </w:r>
      <w:proofErr w:type="spellStart"/>
      <w:r w:rsidRPr="003F04BA">
        <w:rPr>
          <w:rFonts w:ascii="Calibri" w:hAnsi="Calibri" w:cs="Calibri"/>
        </w:rPr>
        <w:t>Paypal</w:t>
      </w:r>
      <w:proofErr w:type="spellEnd"/>
      <w:r w:rsidRPr="003F04BA">
        <w:rPr>
          <w:rFonts w:ascii="Calibri" w:hAnsi="Calibri" w:cs="Calibri"/>
        </w:rPr>
        <w:t xml:space="preserve"> (e-commerce) all require the CMJA to provide evidence on an annual basis of the bona-fides of its trustees and directors under their due diligence processes (anti-money laundering legislation</w:t>
      </w:r>
      <w:r w:rsidR="000C352A" w:rsidRPr="003F04BA">
        <w:rPr>
          <w:rFonts w:ascii="Calibri" w:hAnsi="Calibri" w:cs="Calibri"/>
        </w:rPr>
        <w:t>,</w:t>
      </w:r>
      <w:r w:rsidRPr="003F04BA">
        <w:rPr>
          <w:rFonts w:ascii="Calibri" w:hAnsi="Calibri" w:cs="Calibri"/>
        </w:rPr>
        <w:t xml:space="preserve"> anti-terrorism financial legislation  </w:t>
      </w:r>
      <w:r w:rsidR="000C352A" w:rsidRPr="003F04BA">
        <w:rPr>
          <w:rFonts w:ascii="Calibri" w:hAnsi="Calibri" w:cs="Calibri"/>
        </w:rPr>
        <w:t xml:space="preserve">and company law legislation). </w:t>
      </w:r>
      <w:r w:rsidR="0048403B" w:rsidRPr="003F04BA">
        <w:rPr>
          <w:rFonts w:ascii="Calibri" w:hAnsi="Calibri" w:cs="Calibri"/>
        </w:rPr>
        <w:t xml:space="preserve"> </w:t>
      </w:r>
    </w:p>
    <w:p w14:paraId="7E1D92E0" w14:textId="77777777" w:rsidR="009B7A7F" w:rsidRPr="003F04BA" w:rsidRDefault="009B7A7F" w:rsidP="009B7A7F">
      <w:pPr>
        <w:rPr>
          <w:rFonts w:ascii="Calibri" w:hAnsi="Calibri" w:cs="Calibri"/>
        </w:rPr>
      </w:pPr>
    </w:p>
    <w:p w14:paraId="4F9886BF" w14:textId="48E9A9AF" w:rsidR="009B7A7F" w:rsidRPr="003F04BA" w:rsidRDefault="009B7A7F" w:rsidP="009B7A7F">
      <w:pPr>
        <w:rPr>
          <w:rFonts w:ascii="Calibri" w:hAnsi="Calibri" w:cs="Calibri"/>
        </w:rPr>
      </w:pPr>
      <w:r w:rsidRPr="003F04BA">
        <w:rPr>
          <w:rFonts w:ascii="Calibri" w:hAnsi="Calibri" w:cs="Calibri"/>
        </w:rPr>
        <w:t>Whilst the CMJA has copies of the passport details for all trustees/directors on file and can provide some information to these institutions without reference to the individuals, the CMJA Secretary General</w:t>
      </w:r>
      <w:r w:rsidR="00B153AA" w:rsidRPr="003F04BA">
        <w:rPr>
          <w:rFonts w:ascii="Calibri" w:hAnsi="Calibri" w:cs="Calibri"/>
        </w:rPr>
        <w:t xml:space="preserve"> (“SG”) </w:t>
      </w:r>
      <w:r w:rsidRPr="003F04BA">
        <w:rPr>
          <w:rFonts w:ascii="Calibri" w:hAnsi="Calibri" w:cs="Calibri"/>
        </w:rPr>
        <w:t xml:space="preserve"> has been asked to produce evidence of everything from ID information to evidence of how the trustees are financed themselves.  This has proved to be an onerous task, especially when communication systems are sometimes haphazard or there are delays because of non-responses from trustees.   The SG is usually only given 2 weeks for such responses and sometimes it has been difficult to get the information- especially if the information required needs to be notarised.   The CMJA has already had their accounts with </w:t>
      </w:r>
      <w:proofErr w:type="spellStart"/>
      <w:r w:rsidRPr="003F04BA">
        <w:rPr>
          <w:rFonts w:ascii="Calibri" w:hAnsi="Calibri" w:cs="Calibri"/>
        </w:rPr>
        <w:t>Natwest</w:t>
      </w:r>
      <w:proofErr w:type="spellEnd"/>
      <w:r w:rsidRPr="003F04BA">
        <w:rPr>
          <w:rFonts w:ascii="Calibri" w:hAnsi="Calibri" w:cs="Calibri"/>
        </w:rPr>
        <w:t xml:space="preserve"> and Worldpay terminated (and re-instated after much bureaucracy) as well as having restrictions put on the </w:t>
      </w:r>
      <w:proofErr w:type="spellStart"/>
      <w:r w:rsidRPr="003F04BA">
        <w:rPr>
          <w:rFonts w:ascii="Calibri" w:hAnsi="Calibri" w:cs="Calibri"/>
        </w:rPr>
        <w:t>Paypal</w:t>
      </w:r>
      <w:proofErr w:type="spellEnd"/>
      <w:r w:rsidRPr="003F04BA">
        <w:rPr>
          <w:rFonts w:ascii="Calibri" w:hAnsi="Calibri" w:cs="Calibri"/>
        </w:rPr>
        <w:t xml:space="preserve"> system.  Whilst this in part due to bank inefficiency the amount of work that this entails for the SG is quite substantial. </w:t>
      </w:r>
      <w:r w:rsidR="00B153AA" w:rsidRPr="003F04BA">
        <w:rPr>
          <w:rFonts w:ascii="Calibri" w:hAnsi="Calibri" w:cs="Calibri"/>
        </w:rPr>
        <w:t xml:space="preserve"> </w:t>
      </w:r>
      <w:r w:rsidR="00F225A3">
        <w:rPr>
          <w:rFonts w:ascii="Calibri" w:hAnsi="Calibri" w:cs="Calibri"/>
        </w:rPr>
        <w:t xml:space="preserve"> In addition, under</w:t>
      </w:r>
      <w:r w:rsidR="00287C27">
        <w:rPr>
          <w:rFonts w:ascii="Calibri" w:hAnsi="Calibri" w:cs="Calibri"/>
        </w:rPr>
        <w:t xml:space="preserve"> Companies House regulations all IDs need to be verified.  </w:t>
      </w:r>
    </w:p>
    <w:p w14:paraId="29763277" w14:textId="77777777" w:rsidR="009B7A7F" w:rsidRPr="003F04BA" w:rsidRDefault="009B7A7F" w:rsidP="009B7A7F">
      <w:pPr>
        <w:rPr>
          <w:rFonts w:ascii="Calibri" w:hAnsi="Calibri" w:cs="Calibri"/>
        </w:rPr>
      </w:pPr>
    </w:p>
    <w:p w14:paraId="367ADA58" w14:textId="5E00E060" w:rsidR="009B7A7F" w:rsidRPr="003F04BA" w:rsidRDefault="00B153AA" w:rsidP="009B7A7F">
      <w:pPr>
        <w:rPr>
          <w:rFonts w:ascii="Calibri" w:hAnsi="Calibri" w:cs="Calibri"/>
        </w:rPr>
      </w:pPr>
      <w:r w:rsidRPr="003F04BA">
        <w:rPr>
          <w:rFonts w:ascii="Calibri" w:hAnsi="Calibri" w:cs="Calibri"/>
        </w:rPr>
        <w:lastRenderedPageBreak/>
        <w:t xml:space="preserve">In 2022, Council agreed that the Executive Committee should examine ways of making it easier for the SG to undertake these requirements.    </w:t>
      </w:r>
      <w:r w:rsidR="009B7A7F" w:rsidRPr="003F04BA">
        <w:rPr>
          <w:rFonts w:ascii="Calibri" w:hAnsi="Calibri" w:cs="Calibri"/>
        </w:rPr>
        <w:t>The Executive Committee has received pro bono assistance from Latham and Walters solicitors in London on how best to approach the issue</w:t>
      </w:r>
      <w:r w:rsidR="00EB2442" w:rsidRPr="003F04BA">
        <w:rPr>
          <w:rFonts w:ascii="Calibri" w:hAnsi="Calibri" w:cs="Calibri"/>
        </w:rPr>
        <w:t xml:space="preserve"> </w:t>
      </w:r>
    </w:p>
    <w:p w14:paraId="186D41C3" w14:textId="77777777" w:rsidR="000D652D" w:rsidRPr="003F04BA" w:rsidRDefault="000D652D" w:rsidP="009B7A7F">
      <w:pPr>
        <w:rPr>
          <w:rFonts w:ascii="Calibri" w:hAnsi="Calibri" w:cs="Calibri"/>
        </w:rPr>
      </w:pPr>
    </w:p>
    <w:p w14:paraId="03A716A0" w14:textId="77777777" w:rsidR="000D652D" w:rsidRPr="003F04BA" w:rsidRDefault="000D652D" w:rsidP="000D652D">
      <w:pPr>
        <w:rPr>
          <w:rFonts w:ascii="Calibri" w:hAnsi="Calibri" w:cs="Calibri"/>
        </w:rPr>
      </w:pPr>
      <w:r w:rsidRPr="003F04BA">
        <w:rPr>
          <w:rFonts w:ascii="Calibri" w:hAnsi="Calibri" w:cs="Calibri"/>
        </w:rPr>
        <w:t xml:space="preserve">It is proposed that the Executive Committee, which is currently an ad hoc committee with no statutory powers, should be transformed into the Board of Directors/Trustees.  </w:t>
      </w:r>
    </w:p>
    <w:p w14:paraId="22173704" w14:textId="77777777" w:rsidR="009B7A7F" w:rsidRPr="003F04BA" w:rsidRDefault="009B7A7F" w:rsidP="009B7A7F">
      <w:pPr>
        <w:rPr>
          <w:rFonts w:ascii="Calibri" w:hAnsi="Calibri" w:cs="Calibri"/>
        </w:rPr>
      </w:pPr>
    </w:p>
    <w:p w14:paraId="6FA64E25" w14:textId="0F2A6076" w:rsidR="009B7A7F" w:rsidRPr="003F04BA" w:rsidRDefault="009B7A7F" w:rsidP="009B7A7F">
      <w:pPr>
        <w:rPr>
          <w:rFonts w:ascii="Calibri" w:hAnsi="Calibri" w:cs="Calibri"/>
        </w:rPr>
      </w:pPr>
      <w:r w:rsidRPr="003F04BA">
        <w:rPr>
          <w:rFonts w:ascii="Calibri" w:hAnsi="Calibri" w:cs="Calibri"/>
        </w:rPr>
        <w:t xml:space="preserve">Currently the Executive Committee comprises the Executive Vice President (as Chairperson), the President, the Steering Committee Chairperson, The Director of Programmes, the Treasurer, the Council Member for England and Wales and the Secretary General. The Regional Vice Presidents are ex-officio members of the Executive Committee who receive the agendas and minutes but only attend if they are passing through London at the time.  </w:t>
      </w:r>
    </w:p>
    <w:p w14:paraId="5A10DC66" w14:textId="77777777" w:rsidR="009B7A7F" w:rsidRPr="003F04BA" w:rsidRDefault="009B7A7F" w:rsidP="009B7A7F">
      <w:pPr>
        <w:rPr>
          <w:rFonts w:ascii="Calibri" w:hAnsi="Calibri" w:cs="Calibri"/>
        </w:rPr>
      </w:pPr>
    </w:p>
    <w:p w14:paraId="07320786" w14:textId="77777777" w:rsidR="009B7A7F" w:rsidRPr="003F04BA" w:rsidRDefault="009B7A7F" w:rsidP="009B7A7F">
      <w:pPr>
        <w:rPr>
          <w:rFonts w:ascii="Calibri" w:hAnsi="Calibri" w:cs="Calibri"/>
        </w:rPr>
      </w:pPr>
      <w:r w:rsidRPr="003F04BA">
        <w:rPr>
          <w:rFonts w:ascii="Calibri" w:hAnsi="Calibri" w:cs="Calibri"/>
        </w:rPr>
        <w:t xml:space="preserve">The Council would become an advisory Council but would be consulted on issues by the Executive Committee and have responsibility for the policy direction of the Association.  </w:t>
      </w:r>
    </w:p>
    <w:p w14:paraId="255755DB" w14:textId="77777777" w:rsidR="009B7A7F" w:rsidRPr="003F04BA" w:rsidRDefault="009B7A7F" w:rsidP="009B7A7F">
      <w:pPr>
        <w:rPr>
          <w:rFonts w:ascii="Calibri" w:hAnsi="Calibri" w:cs="Calibri"/>
        </w:rPr>
      </w:pPr>
    </w:p>
    <w:p w14:paraId="2285728D" w14:textId="77777777" w:rsidR="009B7A7F" w:rsidRPr="003F04BA" w:rsidRDefault="009B7A7F" w:rsidP="009B7A7F">
      <w:pPr>
        <w:rPr>
          <w:rFonts w:ascii="Calibri" w:hAnsi="Calibri" w:cs="Calibri"/>
        </w:rPr>
      </w:pPr>
      <w:r w:rsidRPr="003F04BA">
        <w:rPr>
          <w:rFonts w:ascii="Calibri" w:hAnsi="Calibri" w:cs="Calibri"/>
        </w:rPr>
        <w:t xml:space="preserve">The selection process for Council would not change (in that Council Members would be elected at the Regional Meetings) and the President would be elected at the General Assembly.  The Hon. Life Vice Presidents and Hon. Members would also be appointed at the General Assembly. </w:t>
      </w:r>
    </w:p>
    <w:p w14:paraId="74884357" w14:textId="77777777" w:rsidR="009B7A7F" w:rsidRPr="003F04BA" w:rsidRDefault="009B7A7F" w:rsidP="009B7A7F">
      <w:pPr>
        <w:rPr>
          <w:rFonts w:ascii="Calibri" w:hAnsi="Calibri" w:cs="Calibri"/>
        </w:rPr>
      </w:pPr>
    </w:p>
    <w:p w14:paraId="2A8C62AF" w14:textId="4F746D2F" w:rsidR="009B7A7F" w:rsidRPr="003F04BA" w:rsidRDefault="009B7A7F" w:rsidP="009B7A7F">
      <w:pPr>
        <w:rPr>
          <w:rFonts w:ascii="Calibri" w:hAnsi="Calibri" w:cs="Calibri"/>
        </w:rPr>
      </w:pPr>
      <w:r w:rsidRPr="003F04BA">
        <w:rPr>
          <w:rFonts w:ascii="Calibri" w:hAnsi="Calibri" w:cs="Calibri"/>
        </w:rPr>
        <w:t xml:space="preserve">The  Council would, at its first meeting after the General Election, appoint the Executive Vice President, Steering Committee Chairperson, Treasurer and Director of Programmes as it does currently. It would then </w:t>
      </w:r>
      <w:r w:rsidR="00FA335C" w:rsidRPr="003F04BA">
        <w:rPr>
          <w:rFonts w:ascii="Calibri" w:hAnsi="Calibri" w:cs="Calibri"/>
        </w:rPr>
        <w:t>endorse</w:t>
      </w:r>
      <w:r w:rsidRPr="003F04BA">
        <w:rPr>
          <w:rFonts w:ascii="Calibri" w:hAnsi="Calibri" w:cs="Calibri"/>
        </w:rPr>
        <w:t xml:space="preserve"> the Executive Committee members (as currently composed but including Regional Vice Presidents) as trustees/directors for the period to the next General Assembly as at present. The Director of Programmes and Secretary General would continue to be non- voting members of both the Council and the Executive Committee.   Co-opted members of the Council would be appointed by the Council at their first meeting after the General Assembly (as currently).    Whilst the</w:t>
      </w:r>
      <w:r w:rsidR="00B167EA" w:rsidRPr="003F04BA">
        <w:rPr>
          <w:rFonts w:ascii="Calibri" w:hAnsi="Calibri" w:cs="Calibri"/>
        </w:rPr>
        <w:t xml:space="preserve"> full</w:t>
      </w:r>
      <w:r w:rsidRPr="003F04BA">
        <w:rPr>
          <w:rFonts w:ascii="Calibri" w:hAnsi="Calibri" w:cs="Calibri"/>
        </w:rPr>
        <w:t xml:space="preserve"> Council would not become trustees/directors they would still be involved in the work of the Association but the day to day operation of the CMJA charity and company would be the responsibility of the CMJA staff General under the direction of the Executive Committee.  </w:t>
      </w:r>
    </w:p>
    <w:p w14:paraId="66B293A3" w14:textId="77777777" w:rsidR="009B7A7F" w:rsidRPr="003F04BA" w:rsidRDefault="009B7A7F" w:rsidP="009B7A7F">
      <w:pPr>
        <w:rPr>
          <w:rFonts w:ascii="Calibri" w:hAnsi="Calibri" w:cs="Calibri"/>
        </w:rPr>
      </w:pPr>
    </w:p>
    <w:p w14:paraId="6BD6B9AA" w14:textId="0D6FEE3B" w:rsidR="009B7A7F" w:rsidRPr="003F04BA" w:rsidRDefault="009B7A7F" w:rsidP="009B7A7F">
      <w:pPr>
        <w:rPr>
          <w:rFonts w:ascii="Calibri" w:hAnsi="Calibri" w:cs="Calibri"/>
        </w:rPr>
      </w:pPr>
      <w:r w:rsidRPr="003F04BA">
        <w:rPr>
          <w:rFonts w:ascii="Calibri" w:hAnsi="Calibri" w:cs="Calibri"/>
        </w:rPr>
        <w:t xml:space="preserve">The Council would still meet annually but the Executive Committee would meet four times a year.  The Quorum for the Executive Committee would be 50%.    The Executive Committee would report to  Council at the annual meeting and would in fact remain as members of the  Council with voting rights as at present.   The Executive Committee would take on most of the responsibilities of the current  Council including the reporting to the General Assembly (although very few changes will in fact take place as to the documents that the current Council are normally obliged to submit at present to the General Assembly).   </w:t>
      </w:r>
    </w:p>
    <w:p w14:paraId="6F510793" w14:textId="77777777" w:rsidR="003F04BA" w:rsidRPr="003F04BA" w:rsidRDefault="003F04BA" w:rsidP="009B7A7F">
      <w:pPr>
        <w:rPr>
          <w:rFonts w:ascii="Calibri" w:hAnsi="Calibri" w:cs="Calibri"/>
        </w:rPr>
      </w:pPr>
    </w:p>
    <w:p w14:paraId="5EE18E38" w14:textId="10D87B54" w:rsidR="003F04BA" w:rsidRPr="003F04BA" w:rsidRDefault="003F04BA" w:rsidP="009B7A7F">
      <w:pPr>
        <w:rPr>
          <w:rFonts w:ascii="Calibri" w:hAnsi="Calibri" w:cs="Calibri"/>
        </w:rPr>
      </w:pPr>
      <w:r w:rsidRPr="003F04BA">
        <w:rPr>
          <w:rFonts w:ascii="Calibri" w:hAnsi="Calibri" w:cs="Calibri"/>
        </w:rPr>
        <w:t>These changes will take place</w:t>
      </w:r>
      <w:r>
        <w:rPr>
          <w:rFonts w:ascii="Calibri" w:hAnsi="Calibri" w:cs="Calibri"/>
        </w:rPr>
        <w:t xml:space="preserve"> if agreed </w:t>
      </w:r>
      <w:r w:rsidRPr="003F04BA">
        <w:rPr>
          <w:rFonts w:ascii="Calibri" w:hAnsi="Calibri" w:cs="Calibri"/>
        </w:rPr>
        <w:t>by the General Assembly in September 2025</w:t>
      </w:r>
      <w:r>
        <w:rPr>
          <w:rFonts w:ascii="Calibri" w:hAnsi="Calibri" w:cs="Calibri"/>
        </w:rPr>
        <w:t>.</w:t>
      </w:r>
    </w:p>
    <w:p w14:paraId="279DACB7" w14:textId="77777777" w:rsidR="009B7A7F" w:rsidRPr="003F04BA" w:rsidRDefault="009B7A7F" w:rsidP="009B7A7F">
      <w:pPr>
        <w:rPr>
          <w:rFonts w:ascii="Calibri" w:hAnsi="Calibri" w:cs="Calibri"/>
        </w:rPr>
      </w:pPr>
    </w:p>
    <w:p w14:paraId="57AFFBBB" w14:textId="2AAC5290" w:rsidR="00356144" w:rsidRPr="003F04BA" w:rsidRDefault="00D1575A" w:rsidP="009B7A7F">
      <w:pPr>
        <w:rPr>
          <w:rFonts w:ascii="Calibri" w:hAnsi="Calibri" w:cs="Calibri"/>
          <w:sz w:val="28"/>
          <w:szCs w:val="28"/>
          <w:u w:val="single"/>
        </w:rPr>
      </w:pPr>
      <w:r w:rsidRPr="003F04BA">
        <w:rPr>
          <w:rFonts w:ascii="Calibri" w:hAnsi="Calibri" w:cs="Calibri"/>
          <w:sz w:val="28"/>
          <w:szCs w:val="28"/>
          <w:u w:val="single"/>
        </w:rPr>
        <w:t>I</w:t>
      </w:r>
      <w:r w:rsidRPr="003F04BA">
        <w:rPr>
          <w:rFonts w:ascii="Calibri" w:hAnsi="Calibri" w:cs="Calibri"/>
          <w:b/>
          <w:bCs/>
          <w:sz w:val="28"/>
          <w:szCs w:val="28"/>
          <w:u w:val="single"/>
        </w:rPr>
        <w:t xml:space="preserve">ncrease in the numbers of Regional Representatives on Council </w:t>
      </w:r>
    </w:p>
    <w:p w14:paraId="17E88D74" w14:textId="5C3FA637" w:rsidR="00356144" w:rsidRPr="003F04BA" w:rsidRDefault="00727217" w:rsidP="009B7A7F">
      <w:pPr>
        <w:rPr>
          <w:rFonts w:ascii="Calibri" w:hAnsi="Calibri" w:cs="Calibri"/>
        </w:rPr>
      </w:pPr>
      <w:r w:rsidRPr="003F04BA">
        <w:rPr>
          <w:rFonts w:ascii="Calibri" w:hAnsi="Calibri" w:cs="Calibri"/>
        </w:rPr>
        <w:t>The Council is also proposing a</w:t>
      </w:r>
      <w:r w:rsidR="00CF60F6" w:rsidRPr="003F04BA">
        <w:rPr>
          <w:rFonts w:ascii="Calibri" w:hAnsi="Calibri" w:cs="Calibri"/>
        </w:rPr>
        <w:t xml:space="preserve">n enlargement of the representation from the six regions of the Commonwealth, with one Regional Vice President and three regional representatives at different levels. </w:t>
      </w:r>
      <w:r w:rsidR="003F04BA" w:rsidRPr="003F04BA">
        <w:rPr>
          <w:rFonts w:ascii="Calibri" w:hAnsi="Calibri" w:cs="Calibri"/>
        </w:rPr>
        <w:t xml:space="preserve"> These changes will take place from the next General Assembly in 2028</w:t>
      </w:r>
      <w:r w:rsidR="003F04BA">
        <w:rPr>
          <w:rFonts w:ascii="Calibri" w:hAnsi="Calibri" w:cs="Calibri"/>
        </w:rPr>
        <w:t xml:space="preserve"> if approved. </w:t>
      </w:r>
    </w:p>
    <w:p w14:paraId="10B8DEC4" w14:textId="77777777" w:rsidR="003F04BA" w:rsidRPr="003F04BA" w:rsidRDefault="003F04BA" w:rsidP="009B7A7F">
      <w:pPr>
        <w:rPr>
          <w:rFonts w:ascii="Calibri" w:hAnsi="Calibri" w:cs="Calibri"/>
        </w:rPr>
      </w:pPr>
    </w:p>
    <w:p w14:paraId="6C872C67" w14:textId="605529C0" w:rsidR="008D4757" w:rsidRPr="00CF3415" w:rsidRDefault="001024B3" w:rsidP="009B7A7F">
      <w:pPr>
        <w:rPr>
          <w:rFonts w:ascii="Calibri" w:hAnsi="Calibri" w:cs="Calibri"/>
          <w:b/>
          <w:bCs/>
          <w:sz w:val="28"/>
          <w:szCs w:val="28"/>
          <w:u w:val="single"/>
        </w:rPr>
      </w:pPr>
      <w:r w:rsidRPr="00CF3415">
        <w:rPr>
          <w:rFonts w:ascii="Calibri" w:hAnsi="Calibri" w:cs="Calibri"/>
          <w:b/>
          <w:bCs/>
          <w:sz w:val="28"/>
          <w:szCs w:val="28"/>
          <w:u w:val="single"/>
        </w:rPr>
        <w:t>Council Approval</w:t>
      </w:r>
    </w:p>
    <w:p w14:paraId="26011395" w14:textId="0DB4C969" w:rsidR="00BC49FD" w:rsidRDefault="00BC49FD" w:rsidP="009B7A7F">
      <w:pPr>
        <w:rPr>
          <w:rFonts w:ascii="Calibri" w:hAnsi="Calibri" w:cs="Calibri"/>
        </w:rPr>
      </w:pPr>
      <w:r w:rsidRPr="00CF3415">
        <w:rPr>
          <w:rFonts w:ascii="Calibri" w:hAnsi="Calibri" w:cs="Calibri"/>
        </w:rPr>
        <w:t>The proposed constitutional changes wer</w:t>
      </w:r>
      <w:r w:rsidR="003F4DF9" w:rsidRPr="00CF3415">
        <w:rPr>
          <w:rFonts w:ascii="Calibri" w:hAnsi="Calibri" w:cs="Calibri"/>
        </w:rPr>
        <w:t xml:space="preserve">e approved by Council by written Resolution on </w:t>
      </w:r>
      <w:r w:rsidR="00CF3415" w:rsidRPr="00CF3415">
        <w:rPr>
          <w:rFonts w:ascii="Calibri" w:hAnsi="Calibri" w:cs="Calibri"/>
        </w:rPr>
        <w:t>30 April 2025</w:t>
      </w:r>
      <w:r w:rsidR="00CF3415">
        <w:rPr>
          <w:rFonts w:ascii="Calibri" w:hAnsi="Calibri" w:cs="Calibri"/>
        </w:rPr>
        <w:t xml:space="preserve"> </w:t>
      </w:r>
      <w:r w:rsidR="00B30324">
        <w:rPr>
          <w:rFonts w:ascii="Calibri" w:hAnsi="Calibri" w:cs="Calibri"/>
        </w:rPr>
        <w:t>and the Secretariat was directed to place the proposed changes before the General Assembly on 25 September 2025</w:t>
      </w:r>
    </w:p>
    <w:p w14:paraId="51340651" w14:textId="7E70C394" w:rsidR="00B30324" w:rsidRDefault="00B30324" w:rsidP="009B7A7F">
      <w:pPr>
        <w:rPr>
          <w:rFonts w:ascii="Calibri" w:hAnsi="Calibri" w:cs="Calibri"/>
        </w:rPr>
      </w:pPr>
    </w:p>
    <w:p w14:paraId="0CAE2295" w14:textId="0EC08050" w:rsidR="001024B3" w:rsidRPr="00B30324" w:rsidRDefault="001024B3" w:rsidP="009B7A7F">
      <w:pPr>
        <w:rPr>
          <w:rFonts w:ascii="Calibri" w:hAnsi="Calibri" w:cs="Calibri"/>
          <w:b/>
          <w:bCs/>
          <w:sz w:val="28"/>
          <w:szCs w:val="28"/>
          <w:u w:val="single"/>
        </w:rPr>
      </w:pPr>
      <w:r w:rsidRPr="008427B2">
        <w:rPr>
          <w:rFonts w:ascii="Calibri" w:hAnsi="Calibri" w:cs="Calibri"/>
          <w:b/>
          <w:bCs/>
          <w:sz w:val="28"/>
          <w:szCs w:val="28"/>
          <w:u w:val="single"/>
        </w:rPr>
        <w:lastRenderedPageBreak/>
        <w:t>Member Associations attending the General Assembly or by Proxy.</w:t>
      </w:r>
    </w:p>
    <w:p w14:paraId="576FCF19" w14:textId="74227F99" w:rsidR="003B0CA4" w:rsidRDefault="00B30324" w:rsidP="009B7A7F">
      <w:r>
        <w:rPr>
          <w:rFonts w:ascii="Calibri" w:hAnsi="Calibri" w:cs="Calibri"/>
        </w:rPr>
        <w:t xml:space="preserve">The voting Member Associations attending the General Assembly </w:t>
      </w:r>
      <w:r w:rsidR="001A22B1">
        <w:rPr>
          <w:rFonts w:ascii="Calibri" w:hAnsi="Calibri" w:cs="Calibri"/>
        </w:rPr>
        <w:t xml:space="preserve">or who have provided their Proxy Vote as outlined in the current Articles of Association </w:t>
      </w:r>
      <w:r w:rsidR="00722FA0">
        <w:rPr>
          <w:rFonts w:ascii="Calibri" w:hAnsi="Calibri" w:cs="Calibri"/>
        </w:rPr>
        <w:t xml:space="preserve">are invited to approve the changes to the constitutional instruments.  </w:t>
      </w:r>
      <w:r w:rsidR="003B0CA4" w:rsidRPr="003F04BA">
        <w:rPr>
          <w:rFonts w:ascii="Calibri" w:hAnsi="Calibri" w:cs="Calibri"/>
        </w:rPr>
        <w:t xml:space="preserve"> A copy of the proposed changes to the Articles of Association are attached for approval (</w:t>
      </w:r>
      <w:r w:rsidR="003B0CA4" w:rsidRPr="003F04BA">
        <w:rPr>
          <w:rFonts w:ascii="Calibri" w:hAnsi="Calibri" w:cs="Calibri"/>
          <w:color w:val="EE0000"/>
        </w:rPr>
        <w:t>see separate document</w:t>
      </w:r>
      <w:r w:rsidR="003B0CA4" w:rsidRPr="003F04BA">
        <w:rPr>
          <w:rFonts w:ascii="Calibri" w:hAnsi="Calibri" w:cs="Calibri"/>
        </w:rPr>
        <w:t xml:space="preserve">).   The </w:t>
      </w:r>
      <w:r w:rsidR="003B0CA4" w:rsidRPr="001C5447">
        <w:rPr>
          <w:rFonts w:ascii="Calibri" w:hAnsi="Calibri" w:cs="Calibri"/>
        </w:rPr>
        <w:t>Resolution is attached below</w:t>
      </w:r>
      <w:r w:rsidR="00722FA0">
        <w:t xml:space="preserve"> for ease of reference.   The CMJA requires </w:t>
      </w:r>
      <w:r w:rsidR="00722FA0" w:rsidRPr="003F04BA">
        <w:rPr>
          <w:rFonts w:ascii="Calibri" w:hAnsi="Calibri" w:cs="Calibri"/>
        </w:rPr>
        <w:t xml:space="preserve">75% of Member Associations to approve the changes to the Constitution at the General Assembly.    </w:t>
      </w:r>
    </w:p>
    <w:p w14:paraId="5494EAA5" w14:textId="77777777" w:rsidR="00DF5150" w:rsidRDefault="00DF5150" w:rsidP="009B7A7F"/>
    <w:p w14:paraId="5C0F9B08" w14:textId="32212980" w:rsidR="00DF5150" w:rsidRPr="00DF5150" w:rsidRDefault="00DF5150" w:rsidP="004576DA">
      <w:pPr>
        <w:shd w:val="clear" w:color="auto" w:fill="F2F2F2" w:themeFill="background1" w:themeFillShade="F2"/>
        <w:rPr>
          <w:b/>
        </w:rPr>
      </w:pPr>
      <w:r w:rsidRPr="00DF5150">
        <w:rPr>
          <w:b/>
        </w:rPr>
        <w:t>COMMONWEALTH MAGISTRATES’ AND JUDGES</w:t>
      </w:r>
      <w:r w:rsidR="00A37D12">
        <w:rPr>
          <w:b/>
        </w:rPr>
        <w:t>’</w:t>
      </w:r>
      <w:r w:rsidRPr="00DF5150">
        <w:rPr>
          <w:b/>
        </w:rPr>
        <w:t xml:space="preserve"> ASSOCIATION </w:t>
      </w:r>
      <w:r w:rsidRPr="00DF5150">
        <w:rPr>
          <w:b/>
        </w:rPr>
        <w:br/>
      </w:r>
      <w:r w:rsidRPr="00DF5150">
        <w:rPr>
          <w:b/>
        </w:rPr>
        <w:br/>
        <w:t>(Company No. 01942930)</w:t>
      </w:r>
    </w:p>
    <w:p w14:paraId="5DBB67BB" w14:textId="77777777" w:rsidR="00DF5150" w:rsidRPr="00DF5150" w:rsidRDefault="00DF5150" w:rsidP="004576DA">
      <w:pPr>
        <w:shd w:val="clear" w:color="auto" w:fill="F2F2F2" w:themeFill="background1" w:themeFillShade="F2"/>
      </w:pPr>
      <w:r w:rsidRPr="00DF5150">
        <w:t>(the “</w:t>
      </w:r>
      <w:r w:rsidRPr="00DF5150">
        <w:rPr>
          <w:b/>
        </w:rPr>
        <w:t>Association</w:t>
      </w:r>
      <w:r w:rsidRPr="00DF5150">
        <w:t>”)</w:t>
      </w:r>
    </w:p>
    <w:p w14:paraId="79876B5D" w14:textId="6A85F6B5" w:rsidR="00DF5150" w:rsidRPr="00DF5150" w:rsidRDefault="00DF5150" w:rsidP="004576DA">
      <w:pPr>
        <w:shd w:val="clear" w:color="auto" w:fill="F2F2F2" w:themeFill="background1" w:themeFillShade="F2"/>
      </w:pPr>
      <w:r w:rsidRPr="00DF5150">
        <w:rPr>
          <w:b/>
        </w:rPr>
        <w:t>RESOLUTION</w:t>
      </w:r>
      <w:r w:rsidRPr="00DF5150">
        <w:t xml:space="preserve"> of the General Assembly of the Association.</w:t>
      </w:r>
    </w:p>
    <w:p w14:paraId="7EBE0D9B" w14:textId="77777777" w:rsidR="00722FA0" w:rsidRDefault="00722FA0" w:rsidP="004576DA">
      <w:pPr>
        <w:shd w:val="clear" w:color="auto" w:fill="F2F2F2" w:themeFill="background1" w:themeFillShade="F2"/>
      </w:pPr>
    </w:p>
    <w:p w14:paraId="5B2EC758" w14:textId="507F5CC6" w:rsidR="00DF5150" w:rsidRPr="00DF5150" w:rsidRDefault="00DF5150" w:rsidP="004576DA">
      <w:pPr>
        <w:shd w:val="clear" w:color="auto" w:fill="F2F2F2" w:themeFill="background1" w:themeFillShade="F2"/>
      </w:pPr>
      <w:r w:rsidRPr="00DF5150">
        <w:t xml:space="preserve">Date: </w:t>
      </w:r>
      <w:r w:rsidR="00722FA0">
        <w:t>25 September 2025</w:t>
      </w:r>
      <w:r w:rsidRPr="00DF5150">
        <w:t xml:space="preserve"> (the “</w:t>
      </w:r>
      <w:r w:rsidRPr="00DF5150">
        <w:rPr>
          <w:b/>
        </w:rPr>
        <w:t>Circulation Date</w:t>
      </w:r>
      <w:r w:rsidRPr="00DF5150">
        <w:t xml:space="preserve">”) </w:t>
      </w:r>
    </w:p>
    <w:p w14:paraId="39069FAA" w14:textId="77777777" w:rsidR="007361C7" w:rsidRDefault="007361C7" w:rsidP="004576DA">
      <w:pPr>
        <w:shd w:val="clear" w:color="auto" w:fill="F2F2F2" w:themeFill="background1" w:themeFillShade="F2"/>
      </w:pPr>
    </w:p>
    <w:p w14:paraId="2CA25EDA" w14:textId="5DAFB6DA" w:rsidR="00DF5150" w:rsidRPr="00DF5150" w:rsidRDefault="00DF5150" w:rsidP="004576DA">
      <w:pPr>
        <w:shd w:val="clear" w:color="auto" w:fill="F2F2F2" w:themeFill="background1" w:themeFillShade="F2"/>
      </w:pPr>
      <w:r w:rsidRPr="00DF5150">
        <w:t>Pursuant to Chapter 2 of Part 13 of the Companies Act 2006 the directors of the Association propose that the resolution below is passed by the members of the Associations as a special resolution (the “</w:t>
      </w:r>
      <w:r w:rsidRPr="00DF5150">
        <w:rPr>
          <w:b/>
        </w:rPr>
        <w:t>Resolution</w:t>
      </w:r>
      <w:r w:rsidRPr="00DF5150">
        <w:t>”).</w:t>
      </w:r>
    </w:p>
    <w:p w14:paraId="70BE96DC" w14:textId="77777777" w:rsidR="007361C7" w:rsidRDefault="007361C7" w:rsidP="004576DA">
      <w:pPr>
        <w:shd w:val="clear" w:color="auto" w:fill="F2F2F2" w:themeFill="background1" w:themeFillShade="F2"/>
        <w:rPr>
          <w:b/>
        </w:rPr>
      </w:pPr>
    </w:p>
    <w:p w14:paraId="6C1D898A" w14:textId="4E2807C3" w:rsidR="00DF5150" w:rsidRPr="00DF5150" w:rsidRDefault="00DF5150" w:rsidP="004576DA">
      <w:pPr>
        <w:shd w:val="clear" w:color="auto" w:fill="F2F2F2" w:themeFill="background1" w:themeFillShade="F2"/>
        <w:rPr>
          <w:b/>
        </w:rPr>
      </w:pPr>
      <w:r w:rsidRPr="00DF5150">
        <w:rPr>
          <w:b/>
        </w:rPr>
        <w:t>SPECIAL RESOLUTION</w:t>
      </w:r>
    </w:p>
    <w:p w14:paraId="443263C0" w14:textId="77777777" w:rsidR="00DF5150" w:rsidRPr="00DF5150" w:rsidRDefault="00DF5150" w:rsidP="004576DA">
      <w:pPr>
        <w:numPr>
          <w:ilvl w:val="0"/>
          <w:numId w:val="2"/>
        </w:numPr>
        <w:shd w:val="clear" w:color="auto" w:fill="F2F2F2" w:themeFill="background1" w:themeFillShade="F2"/>
        <w:ind w:hanging="799"/>
        <w:rPr>
          <w:lang w:val="en-US"/>
        </w:rPr>
      </w:pPr>
      <w:r w:rsidRPr="00DF5150">
        <w:rPr>
          <w:b/>
        </w:rPr>
        <w:t>THAT</w:t>
      </w:r>
      <w:r w:rsidRPr="00DF5150">
        <w:t xml:space="preserve"> the draft regulations attached to this notice (the “</w:t>
      </w:r>
      <w:r w:rsidRPr="00DF5150">
        <w:rPr>
          <w:b/>
        </w:rPr>
        <w:t>New Articles</w:t>
      </w:r>
      <w:r w:rsidRPr="00DF5150">
        <w:t>”) be adopted as the articles of association of the Association in substitution for, and to the exclusion of, the existing articles of association.</w:t>
      </w:r>
    </w:p>
    <w:p w14:paraId="5C2996E3" w14:textId="77777777" w:rsidR="00DF5150" w:rsidRPr="00DF5150" w:rsidRDefault="00DF5150" w:rsidP="004576DA">
      <w:pPr>
        <w:shd w:val="clear" w:color="auto" w:fill="F2F2F2" w:themeFill="background1" w:themeFillShade="F2"/>
      </w:pPr>
    </w:p>
    <w:p w14:paraId="428E7003" w14:textId="77777777" w:rsidR="00DF5150" w:rsidRPr="00DF5150" w:rsidRDefault="00DF5150" w:rsidP="004576DA">
      <w:pPr>
        <w:shd w:val="clear" w:color="auto" w:fill="F2F2F2" w:themeFill="background1" w:themeFillShade="F2"/>
      </w:pPr>
    </w:p>
    <w:p w14:paraId="6D6BEBFE" w14:textId="77777777" w:rsidR="00DF5150" w:rsidRPr="00DF5150" w:rsidRDefault="00DF5150" w:rsidP="004576DA">
      <w:pPr>
        <w:shd w:val="clear" w:color="auto" w:fill="F2F2F2" w:themeFill="background1" w:themeFillShade="F2"/>
      </w:pPr>
      <w:r w:rsidRPr="00DF5150">
        <w:t>Please read the notes accompanying this document before you signify your agreement to the Resolution.</w:t>
      </w:r>
    </w:p>
    <w:p w14:paraId="7DF1AC55" w14:textId="77777777" w:rsidR="00DF5150" w:rsidRDefault="00DF5150" w:rsidP="004576DA">
      <w:pPr>
        <w:shd w:val="clear" w:color="auto" w:fill="F2F2F2" w:themeFill="background1" w:themeFillShade="F2"/>
      </w:pPr>
    </w:p>
    <w:sectPr w:rsidR="00DF51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3647" w14:textId="77777777" w:rsidR="00C67783" w:rsidRDefault="00C67783" w:rsidP="00356144">
      <w:r>
        <w:separator/>
      </w:r>
    </w:p>
  </w:endnote>
  <w:endnote w:type="continuationSeparator" w:id="0">
    <w:p w14:paraId="15391C68" w14:textId="77777777" w:rsidR="00C67783" w:rsidRDefault="00C67783" w:rsidP="0035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E943" w14:textId="77777777" w:rsidR="00356144" w:rsidRDefault="00356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892237"/>
      <w:docPartObj>
        <w:docPartGallery w:val="Page Numbers (Bottom of Page)"/>
        <w:docPartUnique/>
      </w:docPartObj>
    </w:sdtPr>
    <w:sdtEndPr/>
    <w:sdtContent>
      <w:p w14:paraId="618BD2D4" w14:textId="1BBF67AB" w:rsidR="00356144" w:rsidRDefault="00356144">
        <w:pPr>
          <w:pStyle w:val="Footer"/>
          <w:jc w:val="center"/>
        </w:pPr>
        <w:r>
          <w:fldChar w:fldCharType="begin"/>
        </w:r>
        <w:r>
          <w:instrText>PAGE   \* MERGEFORMAT</w:instrText>
        </w:r>
        <w:r>
          <w:fldChar w:fldCharType="separate"/>
        </w:r>
        <w:r>
          <w:t>2</w:t>
        </w:r>
        <w:r>
          <w:fldChar w:fldCharType="end"/>
        </w:r>
      </w:p>
    </w:sdtContent>
  </w:sdt>
  <w:p w14:paraId="628F773E" w14:textId="77777777" w:rsidR="00356144" w:rsidRDefault="00356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1999" w14:textId="77777777" w:rsidR="00356144" w:rsidRDefault="0035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4DE1" w14:textId="77777777" w:rsidR="00C67783" w:rsidRDefault="00C67783" w:rsidP="00356144">
      <w:r>
        <w:separator/>
      </w:r>
    </w:p>
  </w:footnote>
  <w:footnote w:type="continuationSeparator" w:id="0">
    <w:p w14:paraId="0A9A31FF" w14:textId="77777777" w:rsidR="00C67783" w:rsidRDefault="00C67783" w:rsidP="0035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0D7A" w14:textId="77777777" w:rsidR="00356144" w:rsidRDefault="00356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4429" w14:textId="77777777" w:rsidR="00356144" w:rsidRDefault="00356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DFFC" w14:textId="77777777" w:rsidR="00356144" w:rsidRDefault="00356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42230"/>
    <w:multiLevelType w:val="hybridMultilevel"/>
    <w:tmpl w:val="2AFC5EE4"/>
    <w:lvl w:ilvl="0" w:tplc="F8DEFE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400AD"/>
    <w:multiLevelType w:val="multilevel"/>
    <w:tmpl w:val="D10AFB9C"/>
    <w:lvl w:ilvl="0">
      <w:start w:val="1"/>
      <w:numFmt w:val="decimal"/>
      <w:lvlText w:val="%1."/>
      <w:lvlJc w:val="left"/>
      <w:pPr>
        <w:tabs>
          <w:tab w:val="num" w:pos="799"/>
        </w:tabs>
        <w:ind w:left="799" w:hanging="709"/>
      </w:pPr>
    </w:lvl>
    <w:lvl w:ilvl="1">
      <w:start w:val="1"/>
      <w:numFmt w:val="lowerLetter"/>
      <w:pStyle w:val="Num2"/>
      <w:lvlText w:val="(%2)"/>
      <w:lvlJc w:val="left"/>
      <w:pPr>
        <w:tabs>
          <w:tab w:val="num" w:pos="1418"/>
        </w:tabs>
        <w:ind w:left="1418" w:hanging="709"/>
      </w:pPr>
    </w:lvl>
    <w:lvl w:ilvl="2">
      <w:start w:val="1"/>
      <w:numFmt w:val="lowerRoman"/>
      <w:pStyle w:val="Num3"/>
      <w:lvlText w:val="(%3)"/>
      <w:lvlJc w:val="left"/>
      <w:pPr>
        <w:tabs>
          <w:tab w:val="num" w:pos="2127"/>
        </w:tabs>
        <w:ind w:left="2127" w:hanging="709"/>
      </w:pPr>
    </w:lvl>
    <w:lvl w:ilvl="3">
      <w:start w:val="1"/>
      <w:numFmt w:val="upperLetter"/>
      <w:pStyle w:val="Num4"/>
      <w:lvlText w:val="(%4)"/>
      <w:lvlJc w:val="left"/>
      <w:pPr>
        <w:tabs>
          <w:tab w:val="num" w:pos="2836"/>
        </w:tabs>
        <w:ind w:left="2836" w:hanging="709"/>
      </w:pPr>
    </w:lvl>
    <w:lvl w:ilvl="4">
      <w:start w:val="27"/>
      <w:numFmt w:val="lowerLetter"/>
      <w:pStyle w:val="Num5"/>
      <w:lvlText w:val="(%5)"/>
      <w:lvlJc w:val="left"/>
      <w:pPr>
        <w:tabs>
          <w:tab w:val="num" w:pos="3545"/>
        </w:tabs>
        <w:ind w:left="3545" w:hanging="709"/>
      </w:pPr>
    </w:lvl>
    <w:lvl w:ilvl="5">
      <w:start w:val="1"/>
      <w:numFmt w:val="decimal"/>
      <w:pStyle w:val="Num6"/>
      <w:lvlText w:val="(%6)"/>
      <w:lvlJc w:val="left"/>
      <w:pPr>
        <w:tabs>
          <w:tab w:val="num" w:pos="4254"/>
        </w:tabs>
        <w:ind w:left="4254" w:hanging="709"/>
      </w:pPr>
    </w:lvl>
    <w:lvl w:ilvl="6">
      <w:start w:val="1"/>
      <w:numFmt w:val="lowerLetter"/>
      <w:pStyle w:val="Num7"/>
      <w:lvlText w:val="(%7)"/>
      <w:lvlJc w:val="left"/>
      <w:pPr>
        <w:tabs>
          <w:tab w:val="num" w:pos="4963"/>
        </w:tabs>
        <w:ind w:left="4963" w:hanging="709"/>
      </w:pPr>
    </w:lvl>
    <w:lvl w:ilvl="7">
      <w:start w:val="1"/>
      <w:numFmt w:val="lowerRoman"/>
      <w:pStyle w:val="Num8"/>
      <w:lvlText w:val="(%8)"/>
      <w:lvlJc w:val="left"/>
      <w:pPr>
        <w:tabs>
          <w:tab w:val="num" w:pos="5672"/>
        </w:tabs>
        <w:ind w:left="5672" w:hanging="709"/>
      </w:pPr>
    </w:lvl>
    <w:lvl w:ilvl="8">
      <w:start w:val="1"/>
      <w:numFmt w:val="lowerLetter"/>
      <w:pStyle w:val="Num9"/>
      <w:lvlText w:val="%9."/>
      <w:lvlJc w:val="left"/>
      <w:pPr>
        <w:tabs>
          <w:tab w:val="num" w:pos="6381"/>
        </w:tabs>
        <w:ind w:left="6381" w:hanging="709"/>
      </w:pPr>
    </w:lvl>
  </w:abstractNum>
  <w:num w:numId="1" w16cid:durableId="156458333">
    <w:abstractNumId w:val="0"/>
  </w:num>
  <w:num w:numId="2" w16cid:durableId="84303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7F"/>
    <w:rsid w:val="0000739F"/>
    <w:rsid w:val="000255B9"/>
    <w:rsid w:val="0003662D"/>
    <w:rsid w:val="000811D8"/>
    <w:rsid w:val="000C352A"/>
    <w:rsid w:val="000D652D"/>
    <w:rsid w:val="001024B3"/>
    <w:rsid w:val="001A22B1"/>
    <w:rsid w:val="001C5447"/>
    <w:rsid w:val="00240736"/>
    <w:rsid w:val="00287C27"/>
    <w:rsid w:val="002D4667"/>
    <w:rsid w:val="00344286"/>
    <w:rsid w:val="00356144"/>
    <w:rsid w:val="00386531"/>
    <w:rsid w:val="003B0CA4"/>
    <w:rsid w:val="003E1A7B"/>
    <w:rsid w:val="003F04BA"/>
    <w:rsid w:val="003F4DF9"/>
    <w:rsid w:val="004175A1"/>
    <w:rsid w:val="00450FA0"/>
    <w:rsid w:val="004576DA"/>
    <w:rsid w:val="004813F0"/>
    <w:rsid w:val="0048403B"/>
    <w:rsid w:val="004C2D51"/>
    <w:rsid w:val="004D7EFD"/>
    <w:rsid w:val="004F4837"/>
    <w:rsid w:val="00506802"/>
    <w:rsid w:val="00535783"/>
    <w:rsid w:val="006E607E"/>
    <w:rsid w:val="00722FA0"/>
    <w:rsid w:val="00727217"/>
    <w:rsid w:val="007361C7"/>
    <w:rsid w:val="00823432"/>
    <w:rsid w:val="008427B2"/>
    <w:rsid w:val="0089383D"/>
    <w:rsid w:val="00895A69"/>
    <w:rsid w:val="008A4AE2"/>
    <w:rsid w:val="008D4757"/>
    <w:rsid w:val="008D6BF3"/>
    <w:rsid w:val="0096002C"/>
    <w:rsid w:val="009636F8"/>
    <w:rsid w:val="009A770B"/>
    <w:rsid w:val="009B7A7F"/>
    <w:rsid w:val="00A37D12"/>
    <w:rsid w:val="00A767B4"/>
    <w:rsid w:val="00A9778C"/>
    <w:rsid w:val="00AC5BDD"/>
    <w:rsid w:val="00AD706F"/>
    <w:rsid w:val="00B153AA"/>
    <w:rsid w:val="00B167EA"/>
    <w:rsid w:val="00B302F9"/>
    <w:rsid w:val="00B30324"/>
    <w:rsid w:val="00B31FAF"/>
    <w:rsid w:val="00B6792D"/>
    <w:rsid w:val="00B7775C"/>
    <w:rsid w:val="00B902F9"/>
    <w:rsid w:val="00B912A6"/>
    <w:rsid w:val="00BC22F9"/>
    <w:rsid w:val="00BC49FD"/>
    <w:rsid w:val="00BE4180"/>
    <w:rsid w:val="00BF3A4B"/>
    <w:rsid w:val="00C43121"/>
    <w:rsid w:val="00C67783"/>
    <w:rsid w:val="00CF3415"/>
    <w:rsid w:val="00CF60F6"/>
    <w:rsid w:val="00D12A58"/>
    <w:rsid w:val="00D1575A"/>
    <w:rsid w:val="00DF5150"/>
    <w:rsid w:val="00E048AE"/>
    <w:rsid w:val="00E66E6C"/>
    <w:rsid w:val="00E8547C"/>
    <w:rsid w:val="00EB2442"/>
    <w:rsid w:val="00ED5577"/>
    <w:rsid w:val="00F225A3"/>
    <w:rsid w:val="00F71F8A"/>
    <w:rsid w:val="00FA335C"/>
    <w:rsid w:val="00FF3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EBC1"/>
  <w15:chartTrackingRefBased/>
  <w15:docId w15:val="{B94F307F-41DD-4BAB-A77E-AA105492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7F"/>
    <w:rPr>
      <w:rFonts w:eastAsiaTheme="majorEastAsia" w:cstheme="majorBidi"/>
      <w:color w:val="272727" w:themeColor="text1" w:themeTint="D8"/>
    </w:rPr>
  </w:style>
  <w:style w:type="paragraph" w:styleId="Title">
    <w:name w:val="Title"/>
    <w:basedOn w:val="Normal"/>
    <w:next w:val="Normal"/>
    <w:link w:val="TitleChar"/>
    <w:uiPriority w:val="10"/>
    <w:qFormat/>
    <w:rsid w:val="009B7A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A7F"/>
    <w:rPr>
      <w:i/>
      <w:iCs/>
      <w:color w:val="404040" w:themeColor="text1" w:themeTint="BF"/>
    </w:rPr>
  </w:style>
  <w:style w:type="paragraph" w:styleId="ListParagraph">
    <w:name w:val="List Paragraph"/>
    <w:basedOn w:val="Normal"/>
    <w:uiPriority w:val="34"/>
    <w:qFormat/>
    <w:rsid w:val="009B7A7F"/>
    <w:pPr>
      <w:ind w:left="720"/>
      <w:contextualSpacing/>
    </w:pPr>
  </w:style>
  <w:style w:type="character" w:styleId="IntenseEmphasis">
    <w:name w:val="Intense Emphasis"/>
    <w:basedOn w:val="DefaultParagraphFont"/>
    <w:uiPriority w:val="21"/>
    <w:qFormat/>
    <w:rsid w:val="009B7A7F"/>
    <w:rPr>
      <w:i/>
      <w:iCs/>
      <w:color w:val="0F4761" w:themeColor="accent1" w:themeShade="BF"/>
    </w:rPr>
  </w:style>
  <w:style w:type="paragraph" w:styleId="IntenseQuote">
    <w:name w:val="Intense Quote"/>
    <w:basedOn w:val="Normal"/>
    <w:next w:val="Normal"/>
    <w:link w:val="IntenseQuoteChar"/>
    <w:uiPriority w:val="30"/>
    <w:qFormat/>
    <w:rsid w:val="009B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7F"/>
    <w:rPr>
      <w:i/>
      <w:iCs/>
      <w:color w:val="0F4761" w:themeColor="accent1" w:themeShade="BF"/>
    </w:rPr>
  </w:style>
  <w:style w:type="character" w:styleId="IntenseReference">
    <w:name w:val="Intense Reference"/>
    <w:basedOn w:val="DefaultParagraphFont"/>
    <w:uiPriority w:val="32"/>
    <w:qFormat/>
    <w:rsid w:val="009B7A7F"/>
    <w:rPr>
      <w:b/>
      <w:bCs/>
      <w:smallCaps/>
      <w:color w:val="0F4761" w:themeColor="accent1" w:themeShade="BF"/>
      <w:spacing w:val="5"/>
    </w:rPr>
  </w:style>
  <w:style w:type="paragraph" w:styleId="Header">
    <w:name w:val="header"/>
    <w:basedOn w:val="Normal"/>
    <w:link w:val="HeaderChar"/>
    <w:uiPriority w:val="99"/>
    <w:unhideWhenUsed/>
    <w:rsid w:val="00356144"/>
    <w:pPr>
      <w:tabs>
        <w:tab w:val="center" w:pos="4513"/>
        <w:tab w:val="right" w:pos="9026"/>
      </w:tabs>
    </w:pPr>
  </w:style>
  <w:style w:type="character" w:customStyle="1" w:styleId="HeaderChar">
    <w:name w:val="Header Char"/>
    <w:basedOn w:val="DefaultParagraphFont"/>
    <w:link w:val="Header"/>
    <w:uiPriority w:val="99"/>
    <w:rsid w:val="00356144"/>
  </w:style>
  <w:style w:type="paragraph" w:styleId="Footer">
    <w:name w:val="footer"/>
    <w:basedOn w:val="Normal"/>
    <w:link w:val="FooterChar"/>
    <w:uiPriority w:val="99"/>
    <w:unhideWhenUsed/>
    <w:rsid w:val="00356144"/>
    <w:pPr>
      <w:tabs>
        <w:tab w:val="center" w:pos="4513"/>
        <w:tab w:val="right" w:pos="9026"/>
      </w:tabs>
    </w:pPr>
  </w:style>
  <w:style w:type="character" w:customStyle="1" w:styleId="FooterChar">
    <w:name w:val="Footer Char"/>
    <w:basedOn w:val="DefaultParagraphFont"/>
    <w:link w:val="Footer"/>
    <w:uiPriority w:val="99"/>
    <w:rsid w:val="00356144"/>
  </w:style>
  <w:style w:type="paragraph" w:customStyle="1" w:styleId="Num2">
    <w:name w:val="Num 2"/>
    <w:basedOn w:val="Normal"/>
    <w:next w:val="Normal"/>
    <w:uiPriority w:val="20"/>
    <w:qFormat/>
    <w:rsid w:val="00DF5150"/>
    <w:pPr>
      <w:numPr>
        <w:ilvl w:val="1"/>
        <w:numId w:val="2"/>
      </w:numPr>
      <w:spacing w:after="220"/>
      <w:jc w:val="both"/>
    </w:pPr>
    <w:rPr>
      <w:rFonts w:ascii="Times New Roman" w:eastAsia="Times New Roman" w:hAnsi="Times New Roman" w:cs="Times New Roman"/>
      <w:kern w:val="0"/>
      <w:szCs w:val="20"/>
      <w14:ligatures w14:val="none"/>
    </w:rPr>
  </w:style>
  <w:style w:type="paragraph" w:customStyle="1" w:styleId="Num3">
    <w:name w:val="Num 3"/>
    <w:basedOn w:val="Normal"/>
    <w:next w:val="Normal"/>
    <w:uiPriority w:val="20"/>
    <w:qFormat/>
    <w:rsid w:val="00DF5150"/>
    <w:pPr>
      <w:numPr>
        <w:ilvl w:val="2"/>
        <w:numId w:val="2"/>
      </w:numPr>
      <w:spacing w:after="220"/>
      <w:jc w:val="both"/>
    </w:pPr>
    <w:rPr>
      <w:rFonts w:ascii="Times New Roman" w:eastAsia="Times New Roman" w:hAnsi="Times New Roman" w:cs="Times New Roman"/>
      <w:kern w:val="0"/>
      <w:szCs w:val="20"/>
      <w14:ligatures w14:val="none"/>
    </w:rPr>
  </w:style>
  <w:style w:type="paragraph" w:customStyle="1" w:styleId="Num4">
    <w:name w:val="Num 4"/>
    <w:basedOn w:val="Normal"/>
    <w:next w:val="Normal"/>
    <w:uiPriority w:val="20"/>
    <w:semiHidden/>
    <w:rsid w:val="00DF5150"/>
    <w:pPr>
      <w:numPr>
        <w:ilvl w:val="3"/>
        <w:numId w:val="2"/>
      </w:numPr>
      <w:spacing w:after="220"/>
      <w:ind w:left="2835"/>
      <w:jc w:val="both"/>
    </w:pPr>
    <w:rPr>
      <w:rFonts w:ascii="Times New Roman" w:eastAsia="Times New Roman" w:hAnsi="Times New Roman" w:cs="Times New Roman"/>
      <w:kern w:val="0"/>
      <w:szCs w:val="20"/>
      <w14:ligatures w14:val="none"/>
    </w:rPr>
  </w:style>
  <w:style w:type="paragraph" w:customStyle="1" w:styleId="Num5">
    <w:name w:val="Num 5"/>
    <w:basedOn w:val="Normal"/>
    <w:next w:val="Normal"/>
    <w:uiPriority w:val="20"/>
    <w:semiHidden/>
    <w:rsid w:val="00DF5150"/>
    <w:pPr>
      <w:numPr>
        <w:ilvl w:val="4"/>
        <w:numId w:val="2"/>
      </w:numPr>
      <w:spacing w:after="220"/>
      <w:ind w:left="3544"/>
      <w:jc w:val="both"/>
    </w:pPr>
    <w:rPr>
      <w:rFonts w:ascii="Times New Roman" w:eastAsia="Times New Roman" w:hAnsi="Times New Roman" w:cs="Times New Roman"/>
      <w:kern w:val="0"/>
      <w:szCs w:val="20"/>
      <w14:ligatures w14:val="none"/>
    </w:rPr>
  </w:style>
  <w:style w:type="paragraph" w:customStyle="1" w:styleId="Num6">
    <w:name w:val="Num 6"/>
    <w:basedOn w:val="Normal"/>
    <w:next w:val="Normal"/>
    <w:uiPriority w:val="20"/>
    <w:semiHidden/>
    <w:rsid w:val="00DF5150"/>
    <w:pPr>
      <w:numPr>
        <w:ilvl w:val="5"/>
        <w:numId w:val="2"/>
      </w:numPr>
      <w:spacing w:after="220"/>
      <w:ind w:left="4253"/>
      <w:jc w:val="both"/>
    </w:pPr>
    <w:rPr>
      <w:rFonts w:ascii="Times New Roman" w:eastAsia="Times New Roman" w:hAnsi="Times New Roman" w:cs="Times New Roman"/>
      <w:kern w:val="0"/>
      <w:szCs w:val="20"/>
      <w14:ligatures w14:val="none"/>
    </w:rPr>
  </w:style>
  <w:style w:type="paragraph" w:customStyle="1" w:styleId="Num7">
    <w:name w:val="Num 7"/>
    <w:basedOn w:val="Normal"/>
    <w:next w:val="Normal"/>
    <w:uiPriority w:val="20"/>
    <w:semiHidden/>
    <w:rsid w:val="00DF5150"/>
    <w:pPr>
      <w:numPr>
        <w:ilvl w:val="6"/>
        <w:numId w:val="2"/>
      </w:numPr>
      <w:spacing w:after="220"/>
      <w:ind w:left="4962"/>
      <w:jc w:val="both"/>
    </w:pPr>
    <w:rPr>
      <w:rFonts w:ascii="Times New Roman" w:eastAsia="Times New Roman" w:hAnsi="Times New Roman" w:cs="Times New Roman"/>
      <w:kern w:val="0"/>
      <w:szCs w:val="20"/>
      <w14:ligatures w14:val="none"/>
    </w:rPr>
  </w:style>
  <w:style w:type="paragraph" w:customStyle="1" w:styleId="Num8">
    <w:name w:val="Num 8"/>
    <w:basedOn w:val="Normal"/>
    <w:next w:val="Normal"/>
    <w:uiPriority w:val="20"/>
    <w:semiHidden/>
    <w:rsid w:val="00DF5150"/>
    <w:pPr>
      <w:numPr>
        <w:ilvl w:val="7"/>
        <w:numId w:val="2"/>
      </w:numPr>
      <w:spacing w:after="220"/>
      <w:ind w:left="5670"/>
      <w:jc w:val="both"/>
    </w:pPr>
    <w:rPr>
      <w:rFonts w:ascii="Times New Roman" w:eastAsia="Times New Roman" w:hAnsi="Times New Roman" w:cs="Times New Roman"/>
      <w:kern w:val="0"/>
      <w:szCs w:val="20"/>
      <w14:ligatures w14:val="none"/>
    </w:rPr>
  </w:style>
  <w:style w:type="paragraph" w:customStyle="1" w:styleId="Num9">
    <w:name w:val="Num 9"/>
    <w:basedOn w:val="Normal"/>
    <w:next w:val="Normal"/>
    <w:uiPriority w:val="20"/>
    <w:semiHidden/>
    <w:rsid w:val="00DF5150"/>
    <w:pPr>
      <w:numPr>
        <w:ilvl w:val="8"/>
        <w:numId w:val="2"/>
      </w:numPr>
      <w:spacing w:after="220"/>
      <w:ind w:left="6379"/>
      <w:jc w:val="both"/>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1122">
      <w:bodyDiv w:val="1"/>
      <w:marLeft w:val="0"/>
      <w:marRight w:val="0"/>
      <w:marTop w:val="0"/>
      <w:marBottom w:val="0"/>
      <w:divBdr>
        <w:top w:val="none" w:sz="0" w:space="0" w:color="auto"/>
        <w:left w:val="none" w:sz="0" w:space="0" w:color="auto"/>
        <w:bottom w:val="none" w:sz="0" w:space="0" w:color="auto"/>
        <w:right w:val="none" w:sz="0" w:space="0" w:color="auto"/>
      </w:divBdr>
    </w:div>
    <w:div w:id="43031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74626c-6ddc-48f8-8fb7-ead18c896b94" xsi:nil="true"/>
    <lcf76f155ced4ddcb4097134ff3c332f xmlns="468b7cb5-cb0d-4dcc-a361-4668509a4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5ED1C5FF8D34B891282E85987A9F9" ma:contentTypeVersion="18" ma:contentTypeDescription="Create a new document." ma:contentTypeScope="" ma:versionID="3b211e7c129df4300a4bfa332149f5e3">
  <xsd:schema xmlns:xsd="http://www.w3.org/2001/XMLSchema" xmlns:xs="http://www.w3.org/2001/XMLSchema" xmlns:p="http://schemas.microsoft.com/office/2006/metadata/properties" xmlns:ns2="468b7cb5-cb0d-4dcc-a361-4668509a482a" xmlns:ns3="7074626c-6ddc-48f8-8fb7-ead18c896b94" targetNamespace="http://schemas.microsoft.com/office/2006/metadata/properties" ma:root="true" ma:fieldsID="8b805dd46bbcc939102966dfae1d3128" ns2:_="" ns3:_="">
    <xsd:import namespace="468b7cb5-cb0d-4dcc-a361-4668509a482a"/>
    <xsd:import namespace="7074626c-6ddc-48f8-8fb7-ead18c896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b7cb5-cb0d-4dcc-a361-4668509a4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1f9778-7bd5-4c72-8672-6448349c9f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4626c-6ddc-48f8-8fb7-ead18c89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da4bb9-d03f-4c25-b028-c43050f1cbe5}" ma:internalName="TaxCatchAll" ma:showField="CatchAllData" ma:web="7074626c-6ddc-48f8-8fb7-ead18c89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18D8A-860E-4AEB-90B0-8976339039CB}">
  <ds:schemaRefs>
    <ds:schemaRef ds:uri="http://schemas.microsoft.com/sharepoint/v3/contenttype/forms"/>
  </ds:schemaRefs>
</ds:datastoreItem>
</file>

<file path=customXml/itemProps2.xml><?xml version="1.0" encoding="utf-8"?>
<ds:datastoreItem xmlns:ds="http://schemas.openxmlformats.org/officeDocument/2006/customXml" ds:itemID="{E16C9984-55BA-4270-B919-696EE593957C}">
  <ds:schemaRefs>
    <ds:schemaRef ds:uri="http://schemas.microsoft.com/office/2006/metadata/properties"/>
    <ds:schemaRef ds:uri="http://schemas.microsoft.com/office/infopath/2007/PartnerControls"/>
    <ds:schemaRef ds:uri="7074626c-6ddc-48f8-8fb7-ead18c896b94"/>
    <ds:schemaRef ds:uri="468b7cb5-cb0d-4dcc-a361-4668509a482a"/>
  </ds:schemaRefs>
</ds:datastoreItem>
</file>

<file path=customXml/itemProps3.xml><?xml version="1.0" encoding="utf-8"?>
<ds:datastoreItem xmlns:ds="http://schemas.openxmlformats.org/officeDocument/2006/customXml" ds:itemID="{E8CDDD23-1885-47D7-955C-6524F5915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b7cb5-cb0d-4dcc-a361-4668509a482a"/>
    <ds:schemaRef ds:uri="7074626c-6ddc-48f8-8fb7-ead18c89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6787</Characters>
  <Application>Microsoft Office Word</Application>
  <DocSecurity>0</DocSecurity>
  <Lines>56</Lines>
  <Paragraphs>15</Paragraphs>
  <ScaleCrop>false</ScaleCrop>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Brewer</dc:creator>
  <cp:keywords/>
  <dc:description/>
  <cp:lastModifiedBy>Karen  Brewer</cp:lastModifiedBy>
  <cp:revision>2</cp:revision>
  <dcterms:created xsi:type="dcterms:W3CDTF">2025-07-24T12:04:00Z</dcterms:created>
  <dcterms:modified xsi:type="dcterms:W3CDTF">2025-07-24T12:04:00Z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0x0101007CF5ED1C5FF8D34B891282E85987A9F9</vt:lpwstr>
  </property>
  <property fmtid="{D5CDD505-2E9C-101B-9397-08002B2CF9AE}" pid="3" name="MediaServiceImageTags">
    <vt:lpwstr/>
  </property>
</Properties>
</file>